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0D080" w14:textId="77777777" w:rsidR="005777B9" w:rsidRDefault="00FF4A70" w:rsidP="00FF4A70">
      <w:pPr>
        <w:pStyle w:val="Normal1"/>
        <w:jc w:val="center"/>
        <w:rPr>
          <w:b/>
          <w:sz w:val="32"/>
          <w:szCs w:val="32"/>
        </w:rPr>
      </w:pPr>
      <w:r w:rsidRPr="00FF4A70">
        <w:rPr>
          <w:b/>
          <w:sz w:val="32"/>
          <w:szCs w:val="32"/>
        </w:rPr>
        <w:t>Requirement</w:t>
      </w:r>
    </w:p>
    <w:p w14:paraId="1600D081" w14:textId="77777777" w:rsidR="00FF4A70" w:rsidRPr="00FF4A70" w:rsidRDefault="00FF4A70" w:rsidP="00FF4A70">
      <w:pPr>
        <w:pStyle w:val="Normal1"/>
        <w:jc w:val="center"/>
        <w:rPr>
          <w:b/>
          <w:sz w:val="16"/>
          <w:szCs w:val="16"/>
        </w:rPr>
      </w:pPr>
    </w:p>
    <w:tbl>
      <w:tblPr>
        <w:tblStyle w:val="a"/>
        <w:tblW w:w="9030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660"/>
      </w:tblGrid>
      <w:tr w:rsidR="005777B9" w14:paraId="1600D08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2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3" w14:textId="77777777" w:rsidR="005777B9" w:rsidRDefault="00FF4A70">
            <w:pPr>
              <w:pStyle w:val="Normal1"/>
            </w:pPr>
            <w:r>
              <w:t>Residential officer</w:t>
            </w:r>
          </w:p>
        </w:tc>
      </w:tr>
      <w:tr w:rsidR="005777B9" w14:paraId="1600D087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5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Office: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6" w14:textId="77777777" w:rsidR="005777B9" w:rsidRDefault="00FF4A70">
            <w:pPr>
              <w:pStyle w:val="Normal1"/>
            </w:pPr>
            <w:r>
              <w:t>Office of the Dean, FE</w:t>
            </w:r>
          </w:p>
        </w:tc>
      </w:tr>
      <w:tr w:rsidR="005777B9" w14:paraId="1600D08A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8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9" w14:textId="77777777" w:rsidR="005777B9" w:rsidRDefault="00FF4A70">
            <w:pPr>
              <w:pStyle w:val="Normal1"/>
            </w:pPr>
            <w:r>
              <w:t>Ashulia campus, DIU</w:t>
            </w:r>
          </w:p>
        </w:tc>
      </w:tr>
      <w:tr w:rsidR="005777B9" w14:paraId="1600D08D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B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Office Hours: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C" w14:textId="77777777" w:rsidR="005777B9" w:rsidRDefault="00FF4A70">
            <w:pPr>
              <w:pStyle w:val="Normal1"/>
            </w:pPr>
            <w:r>
              <w:t>48 hrs/week</w:t>
            </w:r>
          </w:p>
        </w:tc>
      </w:tr>
      <w:tr w:rsidR="005777B9" w14:paraId="1600D090" w14:textId="77777777">
        <w:trPr>
          <w:trHeight w:val="4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E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Remuneration: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8F" w14:textId="77777777" w:rsidR="005777B9" w:rsidRDefault="00FF4A70">
            <w:pPr>
              <w:pStyle w:val="Normal1"/>
            </w:pPr>
            <w:r>
              <w:t>As per prevailing rule of DIU</w:t>
            </w:r>
          </w:p>
        </w:tc>
      </w:tr>
      <w:tr w:rsidR="005777B9" w14:paraId="1600D093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1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Last date to Apply: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2" w14:textId="2F1AA034" w:rsidR="005777B9" w:rsidRDefault="00B60962">
            <w:pPr>
              <w:pStyle w:val="Normal1"/>
            </w:pPr>
            <w:r>
              <w:t>December 11</w:t>
            </w:r>
          </w:p>
        </w:tc>
      </w:tr>
      <w:tr w:rsidR="005777B9" w14:paraId="1600D09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4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Responsibilities: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5" w14:textId="7F5BA41E" w:rsidR="005777B9" w:rsidRDefault="005F0606">
            <w:pPr>
              <w:pStyle w:val="Normal1"/>
            </w:pPr>
            <w:r>
              <w:t>Given Below</w:t>
            </w:r>
          </w:p>
        </w:tc>
      </w:tr>
      <w:tr w:rsidR="005777B9" w14:paraId="1600D098" w14:textId="77777777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7" w14:textId="77777777" w:rsidR="005777B9" w:rsidRDefault="00FF4A70">
            <w:pPr>
              <w:pStyle w:val="Normal1"/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</w:tr>
    </w:tbl>
    <w:p w14:paraId="1600D099" w14:textId="77777777" w:rsidR="005777B9" w:rsidRDefault="005777B9">
      <w:pPr>
        <w:pStyle w:val="Normal1"/>
      </w:pPr>
    </w:p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165"/>
        <w:gridCol w:w="2610"/>
        <w:gridCol w:w="1380"/>
      </w:tblGrid>
      <w:tr w:rsidR="005777B9" w14:paraId="1600D09E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A" w14:textId="77777777" w:rsidR="005777B9" w:rsidRDefault="00FF4A70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B" w14:textId="77777777" w:rsidR="005777B9" w:rsidRDefault="00FF4A70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Minimum/Essential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C" w14:textId="77777777" w:rsidR="005777B9" w:rsidRDefault="00FF4A70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D" w14:textId="77777777" w:rsidR="005777B9" w:rsidRDefault="00FF4A70">
            <w:pPr>
              <w:pStyle w:val="Normal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Assessed Through</w:t>
            </w:r>
          </w:p>
        </w:tc>
      </w:tr>
      <w:tr w:rsidR="005777B9" w14:paraId="1600D0A3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9F" w14:textId="77777777" w:rsidR="005777B9" w:rsidRDefault="00FF4A70">
            <w:pPr>
              <w:pStyle w:val="Normal1"/>
            </w:pPr>
            <w:r>
              <w:t>Experience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0" w14:textId="77777777" w:rsidR="005777B9" w:rsidRDefault="00FF4A70">
            <w:pPr>
              <w:pStyle w:val="Normal1"/>
            </w:pPr>
            <w:r>
              <w:t>N/A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1" w14:textId="77777777" w:rsidR="005777B9" w:rsidRDefault="00FF4A70">
            <w:pPr>
              <w:pStyle w:val="Normal1"/>
            </w:pPr>
            <w:r>
              <w:t>Non-formal/Formal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2" w14:textId="77777777" w:rsidR="005777B9" w:rsidRDefault="00FF4A70">
            <w:pPr>
              <w:pStyle w:val="Normal1"/>
              <w:jc w:val="center"/>
            </w:pPr>
            <w:r>
              <w:t>A/I</w:t>
            </w:r>
          </w:p>
        </w:tc>
      </w:tr>
      <w:tr w:rsidR="005777B9" w14:paraId="1600D0B4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4" w14:textId="77777777" w:rsidR="005777B9" w:rsidRDefault="00FF4A70">
            <w:pPr>
              <w:pStyle w:val="Normal1"/>
            </w:pPr>
            <w:r>
              <w:t>Knowledge/Skills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5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Bangla and </w:t>
            </w:r>
            <w:proofErr w:type="spellStart"/>
            <w:proofErr w:type="gramStart"/>
            <w:r>
              <w:rPr>
                <w:sz w:val="20"/>
                <w:szCs w:val="20"/>
              </w:rPr>
              <w:t>english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typing using a computer and smart-phone.</w:t>
            </w:r>
          </w:p>
          <w:p w14:paraId="1600D0A6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compose mathematical equations and use other special symbols required in engineering education.</w:t>
            </w:r>
          </w:p>
          <w:p w14:paraId="1600D0A7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produce quality sketches/figures using productivity </w:t>
            </w:r>
            <w:proofErr w:type="spellStart"/>
            <w:r>
              <w:rPr>
                <w:sz w:val="20"/>
                <w:szCs w:val="20"/>
              </w:rPr>
              <w:t>softwares</w:t>
            </w:r>
            <w:proofErr w:type="spellEnd"/>
            <w:r>
              <w:rPr>
                <w:sz w:val="20"/>
                <w:szCs w:val="20"/>
              </w:rPr>
              <w:t>/ICT tools.</w:t>
            </w:r>
          </w:p>
          <w:p w14:paraId="1600D0A8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use new productivity </w:t>
            </w:r>
            <w:proofErr w:type="spellStart"/>
            <w:r>
              <w:rPr>
                <w:sz w:val="20"/>
                <w:szCs w:val="20"/>
              </w:rPr>
              <w:t>softwares</w:t>
            </w:r>
            <w:proofErr w:type="spellEnd"/>
            <w:r>
              <w:rPr>
                <w:sz w:val="20"/>
                <w:szCs w:val="20"/>
              </w:rPr>
              <w:t>/ ICT tools.</w:t>
            </w:r>
          </w:p>
          <w:p w14:paraId="1600D0A9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use voice to text and text to voice converting </w:t>
            </w:r>
            <w:proofErr w:type="spellStart"/>
            <w:r>
              <w:rPr>
                <w:sz w:val="20"/>
                <w:szCs w:val="20"/>
              </w:rPr>
              <w:t>softwares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bangla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14:paraId="1600D0AA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translate </w:t>
            </w:r>
            <w:proofErr w:type="spellStart"/>
            <w:proofErr w:type="gramStart"/>
            <w:r>
              <w:rPr>
                <w:sz w:val="20"/>
                <w:szCs w:val="20"/>
              </w:rPr>
              <w:t>english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bangla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bangla</w:t>
            </w:r>
            <w:proofErr w:type="spellEnd"/>
            <w:r>
              <w:rPr>
                <w:sz w:val="20"/>
                <w:szCs w:val="20"/>
              </w:rPr>
              <w:t xml:space="preserve"> to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using ICT tools.</w:t>
            </w:r>
          </w:p>
          <w:p w14:paraId="1600D0AB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Well-developed interpersonal and communication skills</w:t>
            </w:r>
          </w:p>
          <w:p w14:paraId="1600D0AC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Awareness of Health &amp; Safety practices and guidelines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AD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35 WPM, Bangla 15 WPM</w:t>
            </w:r>
          </w:p>
          <w:p w14:paraId="1600D0AE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the use </w:t>
            </w:r>
            <w:proofErr w:type="gramStart"/>
            <w:r>
              <w:rPr>
                <w:sz w:val="20"/>
                <w:szCs w:val="20"/>
              </w:rPr>
              <w:t>of  the</w:t>
            </w:r>
            <w:proofErr w:type="gramEnd"/>
            <w:r>
              <w:rPr>
                <w:sz w:val="20"/>
                <w:szCs w:val="20"/>
              </w:rPr>
              <w:t xml:space="preserve"> voice to text converting software.</w:t>
            </w:r>
          </w:p>
          <w:p w14:paraId="1600D0AF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of the university's education and management Framework.</w:t>
            </w:r>
          </w:p>
          <w:p w14:paraId="1600D0B0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Dealing with conflict situations</w:t>
            </w:r>
          </w:p>
          <w:p w14:paraId="1600D0B1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writing</w:t>
            </w:r>
          </w:p>
          <w:p w14:paraId="1600D0B2" w14:textId="77777777" w:rsidR="005777B9" w:rsidRDefault="00FF4A70">
            <w:pPr>
              <w:pStyle w:val="Normal1"/>
              <w:numPr>
                <w:ilvl w:val="0"/>
                <w:numId w:val="4"/>
              </w:num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 to serve students and teachers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3" w14:textId="77777777" w:rsidR="005777B9" w:rsidRDefault="00FF4A70">
            <w:pPr>
              <w:pStyle w:val="Normal1"/>
              <w:jc w:val="center"/>
            </w:pPr>
            <w:r>
              <w:t>A/I</w:t>
            </w:r>
          </w:p>
        </w:tc>
      </w:tr>
      <w:tr w:rsidR="005777B9" w14:paraId="1600D0BA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5" w14:textId="77777777" w:rsidR="005777B9" w:rsidRDefault="00FF4A70">
            <w:pPr>
              <w:pStyle w:val="Normal1"/>
            </w:pPr>
            <w:r>
              <w:t>Qualifications and trainings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6" w14:textId="77777777" w:rsidR="005777B9" w:rsidRDefault="00FF4A70">
            <w:pPr>
              <w:pStyle w:val="Normal1"/>
              <w:numPr>
                <w:ilvl w:val="0"/>
                <w:numId w:val="5"/>
              </w:numPr>
              <w:ind w:left="9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 (not mandatory)</w:t>
            </w:r>
          </w:p>
          <w:p w14:paraId="1600D0B7" w14:textId="77777777" w:rsidR="005777B9" w:rsidRDefault="00FF4A70">
            <w:pPr>
              <w:pStyle w:val="Normal1"/>
              <w:numPr>
                <w:ilvl w:val="0"/>
                <w:numId w:val="5"/>
              </w:numPr>
              <w:ind w:left="9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Consideration will be given to candidates who may not hold </w:t>
            </w:r>
            <w:r>
              <w:rPr>
                <w:sz w:val="20"/>
                <w:szCs w:val="20"/>
              </w:rPr>
              <w:lastRenderedPageBreak/>
              <w:t>the essential qualifications but who can demonstrate equivalent experience and/or a willingness to achieve the qualification on appointment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8" w14:textId="77777777" w:rsidR="005777B9" w:rsidRDefault="00FF4A70">
            <w:pPr>
              <w:pStyle w:val="Normal1"/>
              <w:numPr>
                <w:ilvl w:val="0"/>
                <w:numId w:val="3"/>
              </w:numPr>
              <w:ind w:left="180" w:hanging="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ICT  and</w:t>
            </w:r>
            <w:proofErr w:type="gramEnd"/>
            <w:r>
              <w:rPr>
                <w:sz w:val="20"/>
                <w:szCs w:val="20"/>
              </w:rPr>
              <w:t xml:space="preserve"> education related background.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9" w14:textId="77777777" w:rsidR="005777B9" w:rsidRDefault="00FF4A70">
            <w:pPr>
              <w:pStyle w:val="Normal1"/>
              <w:jc w:val="center"/>
            </w:pPr>
            <w:r>
              <w:t>A/C/I</w:t>
            </w:r>
          </w:p>
        </w:tc>
      </w:tr>
      <w:tr w:rsidR="005777B9" w14:paraId="1600D0C2" w14:textId="77777777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B" w14:textId="77777777" w:rsidR="005777B9" w:rsidRDefault="00FF4A70">
            <w:pPr>
              <w:pStyle w:val="Normal1"/>
            </w:pPr>
            <w:r>
              <w:lastRenderedPageBreak/>
              <w:t>Aptitudes and Abilities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BC" w14:textId="77777777" w:rsidR="005777B9" w:rsidRDefault="00FF4A70">
            <w:pPr>
              <w:pStyle w:val="Normal1"/>
              <w:numPr>
                <w:ilvl w:val="0"/>
                <w:numId w:val="7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undertake additional training and attend staff development days as necessary to fulfil requirements of the role</w:t>
            </w:r>
          </w:p>
          <w:p w14:paraId="1600D0BD" w14:textId="77777777" w:rsidR="005777B9" w:rsidRDefault="00FF4A70">
            <w:pPr>
              <w:pStyle w:val="Normal1"/>
              <w:numPr>
                <w:ilvl w:val="0"/>
                <w:numId w:val="7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 within work patterns</w:t>
            </w:r>
          </w:p>
          <w:p w14:paraId="1600D0BE" w14:textId="77777777" w:rsidR="005777B9" w:rsidRDefault="00FF4A70">
            <w:pPr>
              <w:pStyle w:val="Normal1"/>
              <w:numPr>
                <w:ilvl w:val="0"/>
                <w:numId w:val="7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towards improving quality</w:t>
            </w:r>
          </w:p>
          <w:p w14:paraId="1600D0BF" w14:textId="77777777" w:rsidR="005777B9" w:rsidRDefault="00FF4A70">
            <w:pPr>
              <w:pStyle w:val="Normal1"/>
              <w:numPr>
                <w:ilvl w:val="0"/>
                <w:numId w:val="7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well within a team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0" w14:textId="77777777" w:rsidR="005777B9" w:rsidRDefault="00FF4A70">
            <w:pPr>
              <w:pStyle w:val="Normal1"/>
              <w:numPr>
                <w:ilvl w:val="0"/>
                <w:numId w:val="7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respect for independence of individuals and their right to self determination and to take risks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1" w14:textId="77777777" w:rsidR="005777B9" w:rsidRDefault="00FF4A70">
            <w:pPr>
              <w:pStyle w:val="Normal1"/>
              <w:spacing w:line="240" w:lineRule="auto"/>
              <w:jc w:val="center"/>
            </w:pPr>
            <w:r>
              <w:t>A/I</w:t>
            </w:r>
          </w:p>
        </w:tc>
      </w:tr>
      <w:tr w:rsidR="005777B9" w14:paraId="1600D0C8" w14:textId="77777777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3" w14:textId="77777777" w:rsidR="005777B9" w:rsidRDefault="00FF4A70">
            <w:pPr>
              <w:pStyle w:val="Normal1"/>
              <w:spacing w:line="240" w:lineRule="auto"/>
            </w:pPr>
            <w:r>
              <w:t>Disposition, attitude and motivation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4" w14:textId="77777777" w:rsidR="005777B9" w:rsidRDefault="00FF4A70">
            <w:pPr>
              <w:pStyle w:val="Normal1"/>
              <w:numPr>
                <w:ilvl w:val="0"/>
                <w:numId w:val="2"/>
              </w:numPr>
              <w:spacing w:line="240" w:lineRule="auto"/>
              <w:ind w:left="18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Understanding of safeguarding for our students and a commitment to safe practice</w:t>
            </w:r>
          </w:p>
          <w:p w14:paraId="1600D0C5" w14:textId="77777777" w:rsidR="005777B9" w:rsidRDefault="00FF4A70">
            <w:pPr>
              <w:pStyle w:val="Normal1"/>
              <w:numPr>
                <w:ilvl w:val="0"/>
                <w:numId w:val="2"/>
              </w:numPr>
              <w:spacing w:line="240" w:lineRule="auto"/>
              <w:ind w:left="18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Commitment to equality and diversity and its active promotion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6" w14:textId="77777777" w:rsidR="005777B9" w:rsidRDefault="005777B9">
            <w:pPr>
              <w:pStyle w:val="Normal1"/>
              <w:spacing w:line="240" w:lineRule="auto"/>
              <w:ind w:left="18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7" w14:textId="77777777" w:rsidR="005777B9" w:rsidRDefault="00FF4A70">
            <w:pPr>
              <w:pStyle w:val="Normal1"/>
              <w:spacing w:line="240" w:lineRule="auto"/>
              <w:ind w:left="18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A/I</w:t>
            </w:r>
          </w:p>
        </w:tc>
      </w:tr>
      <w:tr w:rsidR="005777B9" w14:paraId="1600D0CD" w14:textId="77777777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9" w14:textId="77777777" w:rsidR="005777B9" w:rsidRDefault="00FF4A70">
            <w:pPr>
              <w:pStyle w:val="Normal1"/>
              <w:spacing w:line="240" w:lineRule="auto"/>
            </w:pPr>
            <w:r>
              <w:t>Additional/other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A" w14:textId="77777777" w:rsidR="005777B9" w:rsidRDefault="00FF4A70">
            <w:pPr>
              <w:pStyle w:val="Normal1"/>
              <w:numPr>
                <w:ilvl w:val="0"/>
                <w:numId w:val="6"/>
              </w:numPr>
              <w:spacing w:line="240" w:lineRule="auto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in Ashulia campus and reside within the campus.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B" w14:textId="77777777" w:rsidR="005777B9" w:rsidRDefault="00FF4A70">
            <w:pPr>
              <w:pStyle w:val="Normal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Candidates from rural and outside Dhaka preferable.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D0CC" w14:textId="77777777" w:rsidR="005777B9" w:rsidRDefault="005777B9">
            <w:pPr>
              <w:pStyle w:val="Normal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00D0CE" w14:textId="77777777" w:rsidR="005777B9" w:rsidRPr="00FF4A70" w:rsidRDefault="00FF4A70">
      <w:pPr>
        <w:pStyle w:val="Normal1"/>
        <w:rPr>
          <w:b/>
          <w:sz w:val="18"/>
          <w:szCs w:val="18"/>
        </w:rPr>
      </w:pPr>
      <w:r w:rsidRPr="00FF4A70">
        <w:rPr>
          <w:b/>
          <w:sz w:val="18"/>
          <w:szCs w:val="18"/>
        </w:rPr>
        <w:t>Assessed Through’ key: A: Application I: Interview T: Task/test C: Certificates</w:t>
      </w:r>
    </w:p>
    <w:p w14:paraId="1600D0CF" w14:textId="77777777" w:rsidR="005777B9" w:rsidRPr="00FF4A70" w:rsidRDefault="005777B9">
      <w:pPr>
        <w:pStyle w:val="Normal1"/>
        <w:rPr>
          <w:b/>
          <w:sz w:val="18"/>
          <w:szCs w:val="18"/>
        </w:rPr>
      </w:pPr>
    </w:p>
    <w:p w14:paraId="1600D0D0" w14:textId="77777777" w:rsidR="005777B9" w:rsidRDefault="005777B9">
      <w:pPr>
        <w:pStyle w:val="Normal1"/>
      </w:pPr>
    </w:p>
    <w:p w14:paraId="1600D0D1" w14:textId="0B1CEBE7" w:rsidR="005777B9" w:rsidRDefault="00FF4A70" w:rsidP="00FF4A70">
      <w:pPr>
        <w:pStyle w:val="Normal1"/>
        <w:jc w:val="both"/>
      </w:pPr>
      <w:r>
        <w:t xml:space="preserve">Note: This job description covers the main, current duties and responsibilities of the job; however, it is subject to review and amendment in the light of developing or changing </w:t>
      </w:r>
      <w:r w:rsidR="005F0606">
        <w:t>organizational</w:t>
      </w:r>
      <w:r>
        <w:t xml:space="preserve"> needs. Other activities commensurate with this Job Description may from time to time be undertaken by the Job Holder.</w:t>
      </w:r>
    </w:p>
    <w:p w14:paraId="1600D0D2" w14:textId="77777777" w:rsidR="005777B9" w:rsidRDefault="00FF4A70" w:rsidP="00FF4A70">
      <w:pPr>
        <w:pStyle w:val="Normal1"/>
        <w:numPr>
          <w:ilvl w:val="0"/>
          <w:numId w:val="1"/>
        </w:numPr>
        <w:jc w:val="both"/>
      </w:pPr>
      <w:r>
        <w:br/>
        <w:t>Minimum/Essential criteria are those attributes required of the Job Holder without which an appointment cannot be made.</w:t>
      </w:r>
    </w:p>
    <w:p w14:paraId="1600D0D3" w14:textId="77777777" w:rsidR="005777B9" w:rsidRDefault="00FF4A70" w:rsidP="00FF4A70">
      <w:pPr>
        <w:pStyle w:val="Normal1"/>
        <w:numPr>
          <w:ilvl w:val="0"/>
          <w:numId w:val="1"/>
        </w:numPr>
        <w:jc w:val="both"/>
      </w:pPr>
      <w:r>
        <w:t>Desirable criteria are those attributes which would be useful, but not essential, for appointment.</w:t>
      </w:r>
    </w:p>
    <w:p w14:paraId="1600D0D4" w14:textId="77777777" w:rsidR="005777B9" w:rsidRDefault="005777B9" w:rsidP="00FF4A70">
      <w:pPr>
        <w:pStyle w:val="Normal1"/>
        <w:jc w:val="both"/>
        <w:rPr>
          <w:sz w:val="24"/>
          <w:szCs w:val="24"/>
          <w:highlight w:val="yellow"/>
        </w:rPr>
      </w:pPr>
    </w:p>
    <w:p w14:paraId="1600D0D5" w14:textId="77777777" w:rsidR="005777B9" w:rsidRDefault="005777B9">
      <w:pPr>
        <w:pStyle w:val="Normal1"/>
        <w:spacing w:before="240" w:line="26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0D0D6" w14:textId="08F4E808" w:rsidR="005777B9" w:rsidRPr="00B60962" w:rsidRDefault="00B60962">
      <w:pPr>
        <w:pStyle w:val="Normal1"/>
        <w:rPr>
          <w:b/>
          <w:sz w:val="32"/>
          <w:szCs w:val="32"/>
        </w:rPr>
      </w:pPr>
      <w:r w:rsidRPr="00B60962">
        <w:rPr>
          <w:b/>
          <w:color w:val="00B050"/>
          <w:sz w:val="32"/>
          <w:szCs w:val="32"/>
        </w:rPr>
        <w:t>Note: If fulfilled the mentioned criteria then send your application to</w:t>
      </w:r>
      <w:r>
        <w:t xml:space="preserve">: </w:t>
      </w:r>
      <w:hyperlink r:id="rId5" w:history="1">
        <w:r w:rsidRPr="00B60962">
          <w:rPr>
            <w:rStyle w:val="Hyperlink"/>
            <w:b/>
            <w:sz w:val="32"/>
            <w:szCs w:val="32"/>
          </w:rPr>
          <w:t>eeeoffice@daffodilvarsity.edu.bd</w:t>
        </w:r>
      </w:hyperlink>
      <w:r w:rsidRPr="00B60962">
        <w:rPr>
          <w:b/>
          <w:sz w:val="32"/>
          <w:szCs w:val="32"/>
        </w:rPr>
        <w:t xml:space="preserve"> or </w:t>
      </w:r>
      <w:hyperlink r:id="rId6" w:history="1">
        <w:r w:rsidRPr="00B60962">
          <w:rPr>
            <w:rStyle w:val="Hyperlink"/>
            <w:b/>
            <w:sz w:val="32"/>
            <w:szCs w:val="32"/>
          </w:rPr>
          <w:t>eeeoffice2@daffodilvarsity.edu.bd</w:t>
        </w:r>
      </w:hyperlink>
      <w:bookmarkStart w:id="0" w:name="_GoBack"/>
      <w:bookmarkEnd w:id="0"/>
    </w:p>
    <w:sectPr w:rsidR="005777B9" w:rsidRPr="00B60962" w:rsidSect="005777B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AC"/>
    <w:multiLevelType w:val="multilevel"/>
    <w:tmpl w:val="5DF28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C90AE6"/>
    <w:multiLevelType w:val="multilevel"/>
    <w:tmpl w:val="9C0CE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2FD229B"/>
    <w:multiLevelType w:val="multilevel"/>
    <w:tmpl w:val="85BAD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AB0A24"/>
    <w:multiLevelType w:val="multilevel"/>
    <w:tmpl w:val="93824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FAC73E1"/>
    <w:multiLevelType w:val="multilevel"/>
    <w:tmpl w:val="ED16E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2125F0D"/>
    <w:multiLevelType w:val="multilevel"/>
    <w:tmpl w:val="6512B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23E03D8"/>
    <w:multiLevelType w:val="multilevel"/>
    <w:tmpl w:val="67DE4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77B9"/>
    <w:rsid w:val="005777B9"/>
    <w:rsid w:val="005F0606"/>
    <w:rsid w:val="00B60962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D080"/>
  <w15:docId w15:val="{867D8203-7B43-4569-96C3-2FEBF7A7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777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777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777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777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777B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777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77B9"/>
  </w:style>
  <w:style w:type="paragraph" w:styleId="Title">
    <w:name w:val="Title"/>
    <w:basedOn w:val="Normal1"/>
    <w:next w:val="Normal1"/>
    <w:rsid w:val="005777B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777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777B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77B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60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eoffice2@daffodilvarsity.edu.bd" TargetMode="External"/><Relationship Id="rId5" Type="http://schemas.openxmlformats.org/officeDocument/2006/relationships/hyperlink" Target="mailto:eeeoffice@daffodilvarsity.edu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EEE</cp:lastModifiedBy>
  <cp:revision>4</cp:revision>
  <dcterms:created xsi:type="dcterms:W3CDTF">2020-11-11T13:01:00Z</dcterms:created>
  <dcterms:modified xsi:type="dcterms:W3CDTF">2020-11-30T06:10:00Z</dcterms:modified>
</cp:coreProperties>
</file>